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1.进入官网后，在搜索栏输入企业的名字，然后点击查询。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865" cy="2911475"/>
            <wp:effectExtent l="0" t="0" r="3175" b="14605"/>
            <wp:docPr id="1" name="图片 1" descr="16431038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43103809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点击行政处罚，在右上角可以看到在线申请修复。如：公示期已过在线申请修复是红色是可进行申请信用修复。公示期未过在线申请修复是灰色的，不能进行申请修复。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2625725"/>
            <wp:effectExtent l="0" t="0" r="8890" b="10795"/>
            <wp:docPr id="2" name="图片 2" descr="164310412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43104127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3.点击在线申请修复后会出现企业基本信息、申请修复的处罚信息，这些信息需要企业进行核对，如无误鼠标直接下滑看到受理地点，进行选择。那个地区处罚就选择那个地区。如：广西贵港市交通运输局处罚，就选择广西  贵港市。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3284220"/>
            <wp:effectExtent l="0" t="0" r="1270" b="7620"/>
            <wp:docPr id="3" name="图片 3" descr="16431044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43104483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4.企业经办人信息必填，手机号码用处查询企业修复查询请认真填写。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2545715"/>
            <wp:effectExtent l="0" t="0" r="3810" b="14605"/>
            <wp:docPr id="4" name="图片 4" descr="164315791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3157914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5.行政处罚失信程度请根据修复指南判定是否是属于严重失信行为。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1578610"/>
            <wp:effectExtent l="0" t="0" r="2540" b="6350"/>
            <wp:docPr id="5" name="图片 5" descr="164315813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3158132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F81B1F"/>
    <w:multiLevelType w:val="singleLevel"/>
    <w:tmpl w:val="46F81B1F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5AB2C56"/>
    <w:rsid w:val="47B428E9"/>
    <w:rsid w:val="51384189"/>
    <w:rsid w:val="651F2920"/>
    <w:rsid w:val="7413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Office_11.3.0.8586_F1E327BC-269C-435d-A152-05C5408002CA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snow</cp:lastModifiedBy>
  <dcterms:modified xsi:type="dcterms:W3CDTF">2022-01-28T07:52:30Z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2052-11.3.0.8586</vt:lpwstr>
  </property>
  <property fmtid="{D5CDD505-2E9C-101B-9397-08002B2CF9AE}" pid="3" name="ICV">
    <vt:lpwstr>6F9441C589994261AA6167D54AAAF777</vt:lpwstr>
  </property>
</Properties>
</file>